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le"/>
      </w:pPr>
      <w:bookmarkStart w:id="0" w:name="_GoBack"/>
      <w:bookmarkEnd w:id="0"/>
      <w:r>
        <w:t>MEMORANDUM RE PURCHASE OF AN APARTMENT/DUPLEX</w:t>
      </w:r>
    </w:p>
    <w:p>
      <w:pPr>
        <w:jc w:val="center"/>
        <w:rPr>
          <w:b/>
          <w:bCs/>
        </w:rPr>
      </w:pPr>
    </w:p>
    <w:p>
      <w:pPr>
        <w:jc w:val="both"/>
        <w:rPr>
          <w:b/>
          <w:bCs/>
        </w:rPr>
      </w:pPr>
      <w:r>
        <w:rPr>
          <w:b/>
          <w:bCs/>
        </w:rPr>
        <w:t>Client:</w:t>
      </w:r>
      <w:r>
        <w:rPr>
          <w:b/>
          <w:bCs/>
        </w:rPr>
        <w:tab/>
        <w:t>[CNT:Name][LCN:Dummy#01]</w:t>
      </w:r>
      <w:r>
        <w:rPr>
          <w:b/>
        </w:rPr>
        <w:t>[SYS:iif(LCN:ClNameCon='', '', ' and ')][LCN:ClNameCon#01]</w:t>
      </w:r>
    </w:p>
    <w:p>
      <w:pPr>
        <w:jc w:val="both"/>
        <w:rPr>
          <w:b/>
          <w:bCs/>
        </w:rPr>
      </w:pPr>
    </w:p>
    <w:p>
      <w:pPr>
        <w:jc w:val="both"/>
        <w:rPr>
          <w:b/>
          <w:bCs/>
        </w:rPr>
      </w:pPr>
      <w:r>
        <w:rPr>
          <w:b/>
          <w:bCs/>
        </w:rPr>
        <w:t>Premises:</w:t>
      </w:r>
      <w:r>
        <w:rPr>
          <w:b/>
          <w:bCs/>
        </w:rPr>
        <w:tab/>
        <w:t>Purchase of [UDF:PropertyDesc]</w:t>
      </w:r>
    </w:p>
    <w:p>
      <w:pPr>
        <w:jc w:val="both"/>
        <w:rPr>
          <w:b/>
          <w:bCs/>
        </w:rPr>
      </w:pPr>
    </w:p>
    <w:p>
      <w:pPr>
        <w:tabs>
          <w:tab w:val="left" w:pos="600"/>
        </w:tabs>
        <w:ind w:left="600" w:hanging="600"/>
        <w:jc w:val="both"/>
      </w:pPr>
      <w:r>
        <w:t>1.</w:t>
      </w:r>
      <w:r>
        <w:tab/>
      </w:r>
      <w:r>
        <w:rPr>
          <w:b/>
          <w:bCs/>
        </w:rPr>
        <w:t>Contract.</w:t>
      </w:r>
      <w:r>
        <w:t xml:space="preserve">  The Contract which you will sign is Contract to purchase an existing property.  As such, the principle of “caveat emptor” i.e. “let the buyer beware” applies.  Once you sign a Contract to purchase the property, you buy it in its current state of repair and condition complete with any problems it may have.  In other words, you buy the property irrespective of its state of repair and condition and take responsibility for any defects in same.  For this reason it is vitally important that you have a full survey of the property carried out by your Architect, Engineer or Surveyor.  Your Architect/Engineer/Surveyor should give attention to the property itself, its structure, its state of repair and condition and all services.  I recommend that you obtain a written report from your Architect/Engineer/Surveyor.  The purpose of the survey and report is to identify the current state of repair of the property and to highlight any areas where expensive remedial works will be required in the future.</w:t>
      </w:r>
    </w:p>
    <w:p>
      <w:pPr>
        <w:tabs>
          <w:tab w:val="left" w:pos="600"/>
        </w:tabs>
        <w:ind w:left="600" w:hanging="600"/>
        <w:jc w:val="both"/>
      </w:pPr>
    </w:p>
    <w:p>
      <w:pPr>
        <w:tabs>
          <w:tab w:val="left" w:pos="600"/>
        </w:tabs>
        <w:ind w:left="600" w:hanging="600"/>
        <w:jc w:val="both"/>
      </w:pPr>
      <w:r>
        <w:tab/>
        <w:t>You should ensure that any Architect/Engineer/Surveyor engaged by you has full professional indemnity insurance in the event that he/she misses something.</w:t>
      </w:r>
    </w:p>
    <w:p>
      <w:pPr>
        <w:tabs>
          <w:tab w:val="left" w:pos="600"/>
        </w:tabs>
        <w:ind w:left="600" w:hanging="600"/>
        <w:jc w:val="both"/>
      </w:pPr>
    </w:p>
    <w:p>
      <w:pPr>
        <w:tabs>
          <w:tab w:val="left" w:pos="600"/>
        </w:tabs>
        <w:ind w:left="600" w:hanging="600"/>
        <w:jc w:val="both"/>
      </w:pPr>
      <w:r>
        <w:tab/>
        <w:t>It is also important that your Architect/Engineer/Surveyor check the map of the property attached to the title deeds.  I will furnish this map to you when available for the purpose.</w:t>
      </w:r>
    </w:p>
    <w:p>
      <w:pPr>
        <w:tabs>
          <w:tab w:val="left" w:pos="600"/>
        </w:tabs>
        <w:jc w:val="both"/>
        <w:rPr>
          <w:b/>
          <w:bCs/>
        </w:rPr>
      </w:pPr>
    </w:p>
    <w:p>
      <w:pPr>
        <w:tabs>
          <w:tab w:val="left" w:pos="600"/>
        </w:tabs>
        <w:ind w:left="600" w:hanging="600"/>
        <w:jc w:val="both"/>
      </w:pPr>
      <w:r>
        <w:t>2.</w:t>
      </w:r>
      <w:r>
        <w:tab/>
      </w:r>
      <w:r>
        <w:rPr>
          <w:b/>
          <w:bCs/>
        </w:rPr>
        <w:t>Deposit:</w:t>
      </w:r>
      <w:r>
        <w:t xml:space="preserve"> Please be aware that on signing Contracts you will be required to pay a deposit equivalent to 10% of the purchase price.  From this sum you may deduct the amount of any Booking Deposit you have already paid to the Auctioneer.  Accordingly, on signing Contracts it is important that you are in a position to let me have a cheque/bank draft made payable to the Solicitors for the seller in the amount of this deposit.</w:t>
      </w:r>
    </w:p>
    <w:p>
      <w:pPr>
        <w:tabs>
          <w:tab w:val="left" w:pos="600"/>
        </w:tabs>
        <w:ind w:left="600" w:hanging="600"/>
        <w:jc w:val="both"/>
      </w:pPr>
    </w:p>
    <w:p>
      <w:pPr>
        <w:tabs>
          <w:tab w:val="left" w:pos="600"/>
        </w:tabs>
        <w:ind w:left="600" w:hanging="600"/>
        <w:jc w:val="both"/>
      </w:pPr>
      <w:r>
        <w:tab/>
        <w:t>In the event that you are not in a position to pay this deposit please advise me immediately as it will be necessary for you to apply to your bank/lending institution for a bridging loan to raise the funds.</w:t>
      </w:r>
    </w:p>
    <w:p>
      <w:pPr>
        <w:tabs>
          <w:tab w:val="left" w:pos="600"/>
        </w:tabs>
        <w:ind w:left="600" w:hanging="600"/>
        <w:jc w:val="both"/>
      </w:pPr>
    </w:p>
    <w:p>
      <w:pPr>
        <w:tabs>
          <w:tab w:val="left" w:pos="600"/>
        </w:tabs>
        <w:ind w:left="600" w:hanging="600"/>
        <w:jc w:val="both"/>
        <w:rPr>
          <w:b/>
        </w:rPr>
      </w:pPr>
      <w:r>
        <w:t>3.</w:t>
      </w:r>
      <w:r>
        <w:tab/>
      </w:r>
      <w:r>
        <w:rPr>
          <w:b/>
        </w:rPr>
        <w:t>Title to the Property</w:t>
      </w:r>
    </w:p>
    <w:p>
      <w:pPr>
        <w:tabs>
          <w:tab w:val="left" w:pos="600"/>
        </w:tabs>
        <w:ind w:left="600" w:hanging="600"/>
        <w:jc w:val="both"/>
      </w:pPr>
    </w:p>
    <w:p>
      <w:pPr>
        <w:tabs>
          <w:tab w:val="left" w:pos="600"/>
        </w:tabs>
        <w:ind w:left="600" w:hanging="600"/>
        <w:jc w:val="both"/>
      </w:pPr>
      <w:r>
        <w:tab/>
        <w:t>Apartments/duplexes are generally owned by way of long lease, for a term of several hundred years.  This is in contrast to freehold ownership which is the manner in which most house properties are held.  The reason for the leasehold ownership is that it enables various conditions to be included in the ownership of each apartment/duplex designed to assist with the management of an apartment/duplex block.  For example apartment/duplex leases generally include conditions requiring the owner of each apartment/duplex to be a member of the management company for the development and to make an annual payment of service charge representing a proportion of the cost of managing the entire development.  The conditions included in the lease also include matters necessary to ensure that the overall development is well managed such as conditions:</w:t>
      </w:r>
    </w:p>
    <w:p>
      <w:pPr>
        <w:tabs>
          <w:tab w:val="left" w:pos="600"/>
        </w:tabs>
        <w:ind w:left="600" w:hanging="600"/>
        <w:jc w:val="both"/>
      </w:pPr>
    </w:p>
    <w:p>
      <w:pPr>
        <w:numPr>
          <w:ilvl w:val="0"/>
          <w:numId w:val="2"/>
        </w:numPr>
        <w:tabs>
          <w:tab w:val="left" w:pos="600"/>
        </w:tabs>
        <w:jc w:val="both"/>
      </w:pPr>
      <w:r>
        <w:t>Prohibiting any alteration to the exterior of the premises.</w:t>
      </w:r>
    </w:p>
    <w:p>
      <w:pPr>
        <w:numPr>
          <w:ilvl w:val="0"/>
          <w:numId w:val="2"/>
        </w:numPr>
        <w:tabs>
          <w:tab w:val="left" w:pos="600"/>
        </w:tabs>
        <w:jc w:val="both"/>
      </w:pPr>
      <w:r>
        <w:t>Requiring each apartment/duplex owner to use floor coverings which comply with building regulations regarding the transmission of sound.</w:t>
      </w:r>
    </w:p>
    <w:p>
      <w:pPr>
        <w:numPr>
          <w:ilvl w:val="0"/>
          <w:numId w:val="2"/>
        </w:numPr>
        <w:tabs>
          <w:tab w:val="left" w:pos="600"/>
        </w:tabs>
        <w:jc w:val="both"/>
      </w:pPr>
      <w:r>
        <w:lastRenderedPageBreak/>
        <w:t>Condition requiring compliance with any house rules or reasonable regulations made by the management company.</w:t>
      </w:r>
    </w:p>
    <w:p>
      <w:pPr>
        <w:numPr>
          <w:ilvl w:val="0"/>
          <w:numId w:val="2"/>
        </w:numPr>
        <w:tabs>
          <w:tab w:val="left" w:pos="600"/>
        </w:tabs>
        <w:jc w:val="both"/>
      </w:pPr>
      <w:r>
        <w:t>Prohibiting the erection of any aerial, satellite, dishes or alarm boxes  on the outside of the building.</w:t>
      </w:r>
    </w:p>
    <w:p>
      <w:pPr>
        <w:tabs>
          <w:tab w:val="left" w:pos="600"/>
        </w:tabs>
        <w:jc w:val="both"/>
      </w:pPr>
    </w:p>
    <w:p>
      <w:pPr>
        <w:tabs>
          <w:tab w:val="left" w:pos="600"/>
        </w:tabs>
        <w:jc w:val="both"/>
        <w:rPr>
          <w:b/>
        </w:rPr>
      </w:pPr>
      <w:r>
        <w:t>4.</w:t>
      </w:r>
      <w:r>
        <w:tab/>
      </w:r>
      <w:r>
        <w:rPr>
          <w:b/>
        </w:rPr>
        <w:t>Management Company Structure</w:t>
      </w:r>
    </w:p>
    <w:p>
      <w:pPr>
        <w:tabs>
          <w:tab w:val="left" w:pos="600"/>
        </w:tabs>
        <w:ind w:left="600" w:hanging="600"/>
        <w:jc w:val="both"/>
      </w:pPr>
    </w:p>
    <w:p>
      <w:pPr>
        <w:tabs>
          <w:tab w:val="left" w:pos="600"/>
        </w:tabs>
        <w:ind w:left="600" w:hanging="600"/>
        <w:jc w:val="both"/>
      </w:pPr>
      <w:r>
        <w:tab/>
        <w:t>As indicated above, each apartment/duplex within a block is sold to its owner by way of long lease.  All the apartments/duplexes having been sold, what remains in the ownership of the developer are the common parts of the block and the common areas.  These include the structural parts of the block including the roof, foundations and structural walls together with all of the internal and external common areas e.g. corridors, pathways and outdoor common areas e.g. parking units etc.  To complete the management structure, the developer should transfer ownership of all of these areas to the management company.</w:t>
      </w:r>
    </w:p>
    <w:p>
      <w:pPr>
        <w:tabs>
          <w:tab w:val="left" w:pos="600"/>
        </w:tabs>
        <w:ind w:left="600" w:hanging="600"/>
        <w:jc w:val="both"/>
      </w:pPr>
    </w:p>
    <w:p>
      <w:pPr>
        <w:tabs>
          <w:tab w:val="left" w:pos="600"/>
        </w:tabs>
        <w:ind w:left="600" w:hanging="600"/>
        <w:jc w:val="both"/>
      </w:pPr>
      <w:r>
        <w:tab/>
        <w:t>The management company of an apartment/duplex block is a not a trading company.  Rather it is a company limited by guarantee by which the only members should be the apartment/duplex owners.  This means that the apartment/duplex owners have the ability to control the management company and to determine its rules and policy.  The management company is responsible for the management, repair and maintenance of al the common parts of the development to include the structural areas, internal common areas and outdoor common areas.  The cost of managing these areas is recovered from all of the members of the management company (apartment/duplex owners) by means of an annual service charge or management fee.  The amount of the management fee is divided between all of the apartments/duplexes based on the size or square footage of the apartment/duplex.  It is important that you find out how much the management fee/service charge is and whether it is likely to increase in the future.</w:t>
      </w:r>
    </w:p>
    <w:p>
      <w:pPr>
        <w:tabs>
          <w:tab w:val="left" w:pos="600"/>
        </w:tabs>
        <w:ind w:left="600" w:hanging="600"/>
        <w:jc w:val="both"/>
      </w:pPr>
    </w:p>
    <w:p>
      <w:pPr>
        <w:tabs>
          <w:tab w:val="left" w:pos="600"/>
        </w:tabs>
        <w:ind w:left="600" w:hanging="600"/>
        <w:jc w:val="both"/>
      </w:pPr>
      <w:r>
        <w:tab/>
        <w:t>In purchasing a second hand apartment/duplex, it is important to ascertain if the management company structure is in order and if the management company is functioning properly.  To do this, we will documentation in relation to the management company to include its accounts and company documents.  These can then be analysed to see if the management company is collecting all of the service charge necessary for the proper management of the block.  Ideally a management company should also create a reserve fund or sinking fund i.e. a fund of monies designed to meet any unexpected or substantial costs in the future e.g. structural repairs, repainting of buildings, re-tarmacing of car park areas.</w:t>
      </w:r>
    </w:p>
    <w:p>
      <w:pPr>
        <w:tabs>
          <w:tab w:val="left" w:pos="600"/>
        </w:tabs>
        <w:ind w:left="600" w:hanging="600"/>
        <w:jc w:val="both"/>
      </w:pPr>
    </w:p>
    <w:p>
      <w:pPr>
        <w:tabs>
          <w:tab w:val="left" w:pos="600"/>
        </w:tabs>
        <w:ind w:left="600" w:hanging="600"/>
        <w:jc w:val="both"/>
      </w:pPr>
      <w:r>
        <w:tab/>
        <w:t>An analysis of the company documentation will give some indication as to how well the management company is operating.  Your own assessment of the state of repair and maintenance of the overall development will also paint a picture in this regard.</w:t>
      </w:r>
    </w:p>
    <w:p>
      <w:pPr>
        <w:tabs>
          <w:tab w:val="left" w:pos="600"/>
        </w:tabs>
        <w:ind w:left="600" w:hanging="600"/>
        <w:jc w:val="both"/>
      </w:pPr>
    </w:p>
    <w:p>
      <w:pPr>
        <w:tabs>
          <w:tab w:val="left" w:pos="600"/>
        </w:tabs>
        <w:ind w:left="600" w:hanging="600"/>
        <w:jc w:val="both"/>
      </w:pPr>
      <w:r>
        <w:t>5.</w:t>
      </w:r>
      <w:r>
        <w:tab/>
      </w:r>
      <w:r>
        <w:rPr>
          <w:b/>
        </w:rPr>
        <w:t>Insurance</w:t>
      </w:r>
    </w:p>
    <w:p>
      <w:pPr>
        <w:tabs>
          <w:tab w:val="left" w:pos="600"/>
        </w:tabs>
        <w:ind w:left="600" w:hanging="600"/>
        <w:jc w:val="both"/>
      </w:pPr>
    </w:p>
    <w:p>
      <w:pPr>
        <w:tabs>
          <w:tab w:val="left" w:pos="600"/>
        </w:tabs>
        <w:ind w:left="600" w:hanging="600"/>
        <w:jc w:val="both"/>
      </w:pPr>
      <w:r>
        <w:tab/>
        <w:t>One of the functions of the management company is to insure the apartment block.  This is done by affecting a block policy insurance.  The cost of this insurance is included in the management fee/service charge which you pay every year.  Whilst this coves the structure, it is important that you effect your own contents insurance and public liability insurance as this is not related to the management company.</w:t>
      </w:r>
    </w:p>
    <w:p>
      <w:pPr>
        <w:tabs>
          <w:tab w:val="left" w:pos="600"/>
        </w:tabs>
        <w:ind w:left="600" w:hanging="600"/>
        <w:jc w:val="both"/>
      </w:pPr>
    </w:p>
    <w:p>
      <w:pPr>
        <w:tabs>
          <w:tab w:val="left" w:pos="600"/>
        </w:tabs>
        <w:ind w:left="600" w:hanging="600"/>
        <w:jc w:val="both"/>
      </w:pPr>
      <w:r>
        <w:t>3</w:t>
      </w:r>
      <w:r>
        <w:tab/>
      </w:r>
      <w:r>
        <w:rPr>
          <w:b/>
          <w:bCs/>
        </w:rPr>
        <w:t xml:space="preserve">Loan Offer:  </w:t>
      </w:r>
      <w:r>
        <w:t xml:space="preserve">As I have already indicated, once you sign a Contract to purchase this property, you commit yourself unconditionally to complete the purchase and pay the purchase price.  Accordingly, prior to entering into such a Contract, you should ensure that you have a </w:t>
      </w:r>
      <w:r>
        <w:lastRenderedPageBreak/>
        <w:t>satisfactory letter of loan offer from your lending institution.  You should also ensure that you are in a position to comply with all conditions, pre-conditions and requirements of any loan offer as your lender will only issue funds once all of such conditions have been met.  Obviously, in the event that there is any delay in complying with such conditions, this will impact on the release of funds thereby delaying the transaction.</w:t>
      </w:r>
    </w:p>
    <w:p>
      <w:pPr>
        <w:tabs>
          <w:tab w:val="left" w:pos="600"/>
        </w:tabs>
        <w:ind w:left="600" w:hanging="600"/>
        <w:jc w:val="both"/>
        <w:rPr>
          <w:b/>
          <w:bCs/>
        </w:rPr>
      </w:pPr>
    </w:p>
    <w:p>
      <w:pPr>
        <w:tabs>
          <w:tab w:val="left" w:pos="600"/>
        </w:tabs>
        <w:ind w:left="600" w:hanging="600"/>
        <w:jc w:val="both"/>
      </w:pPr>
      <w:r>
        <w:rPr>
          <w:b/>
          <w:bCs/>
        </w:rPr>
        <w:t>4</w:t>
      </w:r>
      <w:r>
        <w:rPr>
          <w:b/>
          <w:bCs/>
        </w:rPr>
        <w:tab/>
        <w:t>Mortgage Protection Insurance/Life Assurance:</w:t>
      </w:r>
      <w:r>
        <w:t xml:space="preserve">  Prior to releasing funds your Lending Institution will require you to have in place a satisfactory policy of Life Assurance/Mortgage Protection Insurance for the amount on the term of the loan.  The Lending Institution will not release funds until such time as they are satisfied on this matter.  Accordingly, before you commit yourself to a legally binding Contract to purchase you should ensure that you are in a position to obtain Life Assurance/Mortgage Protection cover to the satisfaction of your lending institution on suitable terms.  Please also be aware that the amount of time involved in processing applications for Life Cover/Mortgage Protection Cover has increased substantially in recent times.  Life Assurance companies may require that questionnaires be completed by your General Practitioners (called Private Medical Assessment Forms) or they may elect to have you undergo a medical examination.  Given these factors, I recommend that you do not commit to a purchase until such time as you have satisfied yourself that you are in a position to obtain Mortgage Protection Cover.</w:t>
      </w:r>
    </w:p>
    <w:p>
      <w:pPr>
        <w:tabs>
          <w:tab w:val="left" w:pos="600"/>
        </w:tabs>
        <w:ind w:left="600" w:hanging="600"/>
        <w:jc w:val="both"/>
      </w:pPr>
    </w:p>
    <w:p>
      <w:pPr>
        <w:numPr>
          <w:ilvl w:val="0"/>
          <w:numId w:val="1"/>
        </w:numPr>
        <w:tabs>
          <w:tab w:val="num" w:pos="480"/>
        </w:tabs>
        <w:jc w:val="both"/>
      </w:pPr>
      <w:r>
        <w:t xml:space="preserve">  </w:t>
      </w:r>
      <w:r>
        <w:rPr>
          <w:b/>
          <w:bCs/>
        </w:rPr>
        <w:t>Planning:</w:t>
      </w:r>
      <w:r>
        <w:t xml:space="preserve">  Prior to proceeding with the purchase, I recommend that you attend at the Planning Office of the relevant Local Authority and check the Planning file for the house and the development plan for its area.  In particular, you should check:-</w:t>
      </w:r>
    </w:p>
    <w:p>
      <w:pPr>
        <w:tabs>
          <w:tab w:val="left" w:pos="600"/>
        </w:tabs>
        <w:ind w:left="600" w:hanging="600"/>
        <w:jc w:val="both"/>
      </w:pPr>
    </w:p>
    <w:p>
      <w:pPr>
        <w:numPr>
          <w:ilvl w:val="1"/>
          <w:numId w:val="1"/>
        </w:numPr>
        <w:tabs>
          <w:tab w:val="left" w:pos="600"/>
        </w:tabs>
        <w:jc w:val="both"/>
      </w:pPr>
      <w:r>
        <w:t>If there are any proposals/plans for the neighbourhood/vicinity of the property which would impact on the value of the property or of your use and enjoyment thereof.</w:t>
      </w:r>
    </w:p>
    <w:p>
      <w:pPr>
        <w:tabs>
          <w:tab w:val="left" w:pos="600"/>
        </w:tabs>
        <w:ind w:left="600" w:hanging="600"/>
        <w:jc w:val="both"/>
      </w:pPr>
    </w:p>
    <w:p>
      <w:pPr>
        <w:numPr>
          <w:ilvl w:val="1"/>
          <w:numId w:val="1"/>
        </w:numPr>
        <w:tabs>
          <w:tab w:val="left" w:pos="600"/>
        </w:tabs>
        <w:jc w:val="both"/>
      </w:pPr>
      <w:r>
        <w:t>You should ascertain if there are any proposals for road widening or other public development which would adversely affect the property.</w:t>
      </w:r>
    </w:p>
    <w:p>
      <w:pPr>
        <w:tabs>
          <w:tab w:val="left" w:pos="600"/>
        </w:tabs>
        <w:ind w:left="600" w:hanging="600"/>
        <w:jc w:val="both"/>
      </w:pPr>
    </w:p>
    <w:p>
      <w:pPr>
        <w:numPr>
          <w:ilvl w:val="1"/>
          <w:numId w:val="1"/>
        </w:numPr>
        <w:tabs>
          <w:tab w:val="left" w:pos="600"/>
        </w:tabs>
        <w:jc w:val="both"/>
      </w:pPr>
      <w:r>
        <w:t>In checking the Planning Register relating to the property itself you should look to see if there are any relevant Planning Applications, Enforcement Notices or breaches of Planning Law which have come to the attention of the Local Authority.</w:t>
      </w:r>
    </w:p>
    <w:p>
      <w:pPr>
        <w:tabs>
          <w:tab w:val="left" w:pos="709"/>
        </w:tabs>
        <w:ind w:left="600" w:hanging="600"/>
        <w:jc w:val="both"/>
      </w:pPr>
    </w:p>
    <w:p>
      <w:pPr>
        <w:numPr>
          <w:ilvl w:val="0"/>
          <w:numId w:val="1"/>
        </w:numPr>
        <w:tabs>
          <w:tab w:val="clear" w:pos="720"/>
          <w:tab w:val="left" w:pos="709"/>
        </w:tabs>
        <w:ind w:hanging="600"/>
        <w:jc w:val="both"/>
      </w:pPr>
      <w:r>
        <w:rPr>
          <w:b/>
          <w:bCs/>
        </w:rPr>
        <w:t>Services:</w:t>
      </w:r>
      <w:r>
        <w:t xml:space="preserve">  I recommend that at this stage, you clarify how the property is serviced as to the normal utilities i.e. water supply, sewerage, ESB.  Most urban properties have mains water supply and sewerage and you should confirm to me that this is the case.  If, however, the property is situate in a rural area or is a one off property, you may need to ascertain the nature of these services i.e. is the water supply a mains supply, from a group scheme or by well?  Is sewerage disposal by mains sewerage, septic tank?  If the property is served by a well or septic tank you should ensure that such well and septic tank and any percolation area relevant thereto are situate in the boundaries of the property in sale.</w:t>
      </w:r>
    </w:p>
    <w:p>
      <w:pPr>
        <w:tabs>
          <w:tab w:val="left" w:pos="709"/>
        </w:tabs>
        <w:ind w:left="600" w:hanging="600"/>
        <w:jc w:val="both"/>
      </w:pPr>
    </w:p>
    <w:p>
      <w:pPr>
        <w:tabs>
          <w:tab w:val="left" w:pos="709"/>
        </w:tabs>
        <w:ind w:left="600" w:hanging="600"/>
        <w:jc w:val="both"/>
      </w:pPr>
      <w:r>
        <w:tab/>
        <w:t>At this stage you should also re-examine the property to see if services such as cable tv, refuse disposal, gas or telephone are supplied.</w:t>
      </w:r>
    </w:p>
    <w:p>
      <w:pPr>
        <w:tabs>
          <w:tab w:val="left" w:pos="709"/>
        </w:tabs>
        <w:ind w:left="600" w:hanging="600"/>
        <w:jc w:val="both"/>
      </w:pPr>
    </w:p>
    <w:p>
      <w:pPr>
        <w:numPr>
          <w:ilvl w:val="0"/>
          <w:numId w:val="1"/>
        </w:numPr>
        <w:tabs>
          <w:tab w:val="clear" w:pos="720"/>
          <w:tab w:val="left" w:pos="709"/>
        </w:tabs>
        <w:ind w:hanging="600"/>
        <w:jc w:val="both"/>
      </w:pPr>
      <w:r>
        <w:rPr>
          <w:b/>
          <w:bCs/>
        </w:rPr>
        <w:t>Contents:</w:t>
      </w:r>
      <w:r>
        <w:t xml:space="preserve">  Please advise me if there are any contents included in the purchase price which you have agreed.  If so, please arrange for the Auctioneer to let me have a list or inventory of the same so that I may include same in the Contract.</w:t>
      </w:r>
    </w:p>
    <w:p>
      <w:pPr>
        <w:tabs>
          <w:tab w:val="left" w:pos="709"/>
        </w:tabs>
        <w:ind w:left="600" w:hanging="600"/>
        <w:jc w:val="both"/>
      </w:pPr>
    </w:p>
    <w:p>
      <w:pPr>
        <w:numPr>
          <w:ilvl w:val="0"/>
          <w:numId w:val="1"/>
        </w:numPr>
        <w:tabs>
          <w:tab w:val="clear" w:pos="720"/>
          <w:tab w:val="left" w:pos="709"/>
        </w:tabs>
        <w:ind w:hanging="600"/>
        <w:jc w:val="both"/>
      </w:pPr>
      <w:r>
        <w:rPr>
          <w:b/>
          <w:bCs/>
        </w:rPr>
        <w:t>Searches</w:t>
      </w:r>
      <w:r>
        <w:t xml:space="preserve">:  On completing the transaction, I will be required by your Lending Institution to carry out Searches against you in the Judgements Office, Bankruptcy Office and Sheriffs </w:t>
      </w:r>
      <w:r>
        <w:lastRenderedPageBreak/>
        <w:t>Office.  Lending Institutions will not issue loan funds until any such debts appearing in these offices are paid.  In order to avoid any embarrassment at the completion of the transaction, you might advise me at this stage if your name is likely to appear on any of these Searches.</w:t>
      </w:r>
    </w:p>
    <w:p>
      <w:pPr>
        <w:tabs>
          <w:tab w:val="left" w:pos="709"/>
        </w:tabs>
        <w:ind w:left="600" w:hanging="600"/>
        <w:jc w:val="both"/>
      </w:pPr>
    </w:p>
    <w:p>
      <w:pPr>
        <w:numPr>
          <w:ilvl w:val="0"/>
          <w:numId w:val="1"/>
        </w:numPr>
        <w:tabs>
          <w:tab w:val="clear" w:pos="720"/>
          <w:tab w:val="left" w:pos="709"/>
        </w:tabs>
        <w:ind w:hanging="600"/>
        <w:jc w:val="both"/>
      </w:pPr>
      <w:r>
        <w:rPr>
          <w:b/>
          <w:bCs/>
        </w:rPr>
        <w:t>Closing:</w:t>
      </w:r>
      <w:r>
        <w:t xml:space="preserve">  Please be aware that when you sign the Contract to purchase this property, you will also agree to a completion date for the transaction.  Thereafter, the Contract is signed by the Vendor and returned to us.  At this point the Contract is unconditional and the closing date agreed.</w:t>
      </w:r>
    </w:p>
    <w:p>
      <w:pPr>
        <w:jc w:val="both"/>
      </w:pPr>
    </w:p>
    <w:p>
      <w:pPr>
        <w:ind w:left="720"/>
        <w:jc w:val="both"/>
      </w:pPr>
      <w:r>
        <w:t>Thereafter, it is incumbent upon you to complete the transaction at the agreed closing date and to discharge the balance of the purchase price on that day.  In the event that there is any delay on your part in completing the transaction on the agreed closing date, you will be liable to pay interest on the balance of the purchase money remaining due at the interest rate pervaded for in the Contract.</w:t>
      </w:r>
    </w:p>
    <w:p>
      <w:pPr>
        <w:jc w:val="both"/>
      </w:pPr>
    </w:p>
    <w:p>
      <w:pPr>
        <w:ind w:left="720"/>
        <w:jc w:val="both"/>
      </w:pPr>
      <w:r>
        <w:t>In the event of an ongoing delay, it is open to the Vendor to serve a Completion Notice whereupon you are formally given a 28 day period within which you must complete the transaction.  If you do not complete within this period, your deposit is thereafter forfeit and it is open to the Vendor to re-sell the property on the open market.  In the event of the Vendor suffering a loss on such re-sale, the Vendor may pursue you for same in the Courts.</w:t>
      </w:r>
    </w:p>
    <w:p>
      <w:pPr>
        <w:ind w:left="720"/>
        <w:jc w:val="both"/>
        <w:rPr>
          <w:b/>
          <w:bCs/>
        </w:rPr>
      </w:pPr>
    </w:p>
    <w:sectPr>
      <w:pgSz w:w="11906" w:h="16838"/>
      <w:pgMar w:top="737" w:right="851" w:bottom="1618" w:left="1418" w:header="0" w:footer="0" w:gutter="0"/>
      <w:cols w:space="708"/>
      <w:docGrid w:linePitch="360" w:charSpace="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9778F"/>
    <w:multiLevelType w:val="hybridMultilevel"/>
    <w:tmpl w:val="E24ACECA"/>
    <w:lvl w:ilvl="0" w:tplc="57EC5A68">
      <w:start w:val="5"/>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9576398"/>
    <w:multiLevelType w:val="hybridMultilevel"/>
    <w:tmpl w:val="39B65270"/>
    <w:lvl w:ilvl="0" w:tplc="08090001">
      <w:start w:val="1"/>
      <w:numFmt w:val="bullet"/>
      <w:lvlText w:val=""/>
      <w:lvlJc w:val="left"/>
      <w:pPr>
        <w:tabs>
          <w:tab w:val="num" w:pos="1320"/>
        </w:tabs>
        <w:ind w:left="1320" w:hanging="360"/>
      </w:pPr>
      <w:rPr>
        <w:rFonts w:ascii="Symbol" w:hAnsi="Symbol"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FCFB6F11-6B0B-4603-A8A7-95375A851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jc w:val="center"/>
    </w:pPr>
    <w:rPr>
      <w:b/>
      <w:bCs/>
    </w:rPr>
  </w:style>
  <w:style w:type="paragraph" w:styleId="BalloonText">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1768</Words>
  <Characters>10079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MEMORANDUM RE PURCHASE OF PROPERTY </vt:lpstr>
    </vt:vector>
  </TitlesOfParts>
  <Company/>
  <LinksUpToDate>false</LinksUpToDate>
  <CharactersWithSpaces>11824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 RE PURCHASE OF PROPERTY </dc:title>
  <dc:subject/>
  <dc:creator>carol</dc:creator>
  <cp:keywords/>
  <dc:description/>
  <cp:lastModifiedBy>Art Kavanagh</cp:lastModifiedBy>
  <cp:revision>2</cp:revision>
  <cp:lastPrinted>2010-09-17T09:48:00Z</cp:lastPrinted>
  <dcterms:created xsi:type="dcterms:W3CDTF">2019-03-04T11:29:00Z</dcterms:created>
  <dcterms:modified xsi:type="dcterms:W3CDTF">2019-03-04T11:29:00Z</dcterms:modified>
</cp:coreProperties>
</file>